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426115" w:rsidRDefault="00FB6A60" w:rsidP="00426115">
            <w:pPr>
              <w:jc w:val="center"/>
            </w:pPr>
            <w:r>
              <w:t>11.</w:t>
            </w:r>
            <w:r w:rsidR="00426115">
              <w:t>01.</w:t>
            </w:r>
          </w:p>
          <w:p w:rsidR="00D22EB5" w:rsidRDefault="00FB6A60" w:rsidP="00426115">
            <w:pPr>
              <w:jc w:val="center"/>
            </w:pPr>
            <w:r>
              <w:t>25</w:t>
            </w:r>
            <w:r w:rsidR="00426115">
              <w:t>.01.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08</w:t>
            </w:r>
            <w:r w:rsidR="00426115">
              <w:t>.02.</w:t>
            </w:r>
          </w:p>
          <w:p w:rsidR="00D22EB5" w:rsidRDefault="00FB6A60" w:rsidP="00426115">
            <w:pPr>
              <w:jc w:val="center"/>
            </w:pPr>
            <w:r>
              <w:t>22</w:t>
            </w:r>
            <w:r w:rsidR="00426115">
              <w:t>.02.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07</w:t>
            </w:r>
            <w:r w:rsidR="00EC3A8B">
              <w:t>.</w:t>
            </w:r>
            <w:r w:rsidR="00426115">
              <w:t>03.</w:t>
            </w:r>
          </w:p>
          <w:p w:rsidR="00D3215D" w:rsidRDefault="00FB6A60" w:rsidP="00426115">
            <w:pPr>
              <w:jc w:val="center"/>
            </w:pPr>
            <w:r>
              <w:t>21</w:t>
            </w:r>
            <w:r w:rsidR="00426115">
              <w:t>.03.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04</w:t>
            </w:r>
            <w:r w:rsidR="00426115">
              <w:t>.04.</w:t>
            </w:r>
          </w:p>
          <w:p w:rsidR="00D3215D" w:rsidRDefault="00FB6A60" w:rsidP="00426115">
            <w:pPr>
              <w:jc w:val="center"/>
            </w:pPr>
            <w:r>
              <w:t>18</w:t>
            </w:r>
            <w:r w:rsidR="00426115">
              <w:t>.04.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02</w:t>
            </w:r>
            <w:r w:rsidR="00426115">
              <w:t>.05.</w:t>
            </w:r>
          </w:p>
          <w:p w:rsidR="00D3215D" w:rsidRDefault="00FB6A60" w:rsidP="00EC3A8B">
            <w:pPr>
              <w:jc w:val="center"/>
            </w:pPr>
            <w:r>
              <w:t>16</w:t>
            </w:r>
            <w:r w:rsidR="00042BBA">
              <w:t>.05</w:t>
            </w:r>
            <w:r w:rsidR="00426115">
              <w:t>.</w:t>
            </w:r>
            <w:r>
              <w:t xml:space="preserve"> 31.05.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13</w:t>
            </w:r>
            <w:r w:rsidR="00426115">
              <w:t>.06.</w:t>
            </w:r>
          </w:p>
          <w:p w:rsidR="00D3215D" w:rsidRDefault="00FB6A60" w:rsidP="00426115">
            <w:pPr>
              <w:jc w:val="center"/>
            </w:pPr>
            <w:r>
              <w:t>27</w:t>
            </w:r>
            <w:r w:rsidR="00426115">
              <w:t>.06.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11</w:t>
            </w:r>
            <w:r w:rsidR="00426115">
              <w:t>.07.</w:t>
            </w:r>
          </w:p>
          <w:p w:rsidR="00D3215D" w:rsidRDefault="00FB6A60" w:rsidP="00426115">
            <w:pPr>
              <w:jc w:val="center"/>
            </w:pPr>
            <w:r>
              <w:t>25</w:t>
            </w:r>
            <w:r w:rsidR="00426115">
              <w:t>.07.</w:t>
            </w:r>
          </w:p>
        </w:tc>
        <w:tc>
          <w:tcPr>
            <w:tcW w:w="1094" w:type="dxa"/>
            <w:vAlign w:val="center"/>
          </w:tcPr>
          <w:p w:rsidR="00426115" w:rsidRDefault="005C648B" w:rsidP="00426115">
            <w:pPr>
              <w:jc w:val="center"/>
            </w:pPr>
            <w:r>
              <w:t>0</w:t>
            </w:r>
            <w:r w:rsidR="00FB6A60">
              <w:t>8</w:t>
            </w:r>
            <w:r w:rsidR="00426115">
              <w:t>.08.</w:t>
            </w:r>
          </w:p>
          <w:p w:rsidR="00D3215D" w:rsidRDefault="00FB6A60" w:rsidP="00426115">
            <w:pPr>
              <w:jc w:val="center"/>
            </w:pPr>
            <w:r>
              <w:t>22</w:t>
            </w:r>
            <w:r w:rsidR="00426115">
              <w:t>.08.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05</w:t>
            </w:r>
            <w:r w:rsidR="00426115">
              <w:t>.09.</w:t>
            </w:r>
          </w:p>
          <w:p w:rsidR="00D3215D" w:rsidRDefault="005C648B" w:rsidP="00426115">
            <w:pPr>
              <w:jc w:val="center"/>
            </w:pPr>
            <w:r>
              <w:t>1</w:t>
            </w:r>
            <w:r w:rsidR="00FB6A60">
              <w:t>9</w:t>
            </w:r>
            <w:r w:rsidR="00426115">
              <w:t>.09.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03</w:t>
            </w:r>
            <w:r w:rsidR="00426115">
              <w:t>.10.</w:t>
            </w:r>
          </w:p>
          <w:p w:rsidR="00D3215D" w:rsidRDefault="00FB6A60" w:rsidP="001D5252">
            <w:pPr>
              <w:jc w:val="center"/>
            </w:pPr>
            <w:r>
              <w:t>17</w:t>
            </w:r>
            <w:r w:rsidR="00426115">
              <w:t>.10.</w:t>
            </w:r>
            <w:r>
              <w:t xml:space="preserve"> 31.10.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14</w:t>
            </w:r>
            <w:r w:rsidR="00426115">
              <w:t>.11.</w:t>
            </w:r>
          </w:p>
          <w:p w:rsidR="00D3215D" w:rsidRDefault="00FB6A60" w:rsidP="00426115">
            <w:pPr>
              <w:jc w:val="center"/>
            </w:pPr>
            <w:r>
              <w:t>28</w:t>
            </w:r>
            <w:r w:rsidR="00426115">
              <w:t>.11.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12</w:t>
            </w:r>
            <w:r w:rsidR="00426115">
              <w:t>.12.</w:t>
            </w:r>
          </w:p>
          <w:p w:rsidR="00D3215D" w:rsidRDefault="00FB6A60" w:rsidP="00426115">
            <w:pPr>
              <w:jc w:val="center"/>
            </w:pPr>
            <w:r>
              <w:t>27</w:t>
            </w:r>
            <w:r w:rsidR="00426115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EB2271" w:rsidRDefault="00EB2271" w:rsidP="00EB2271">
            <w:pPr>
              <w:jc w:val="center"/>
            </w:pPr>
            <w:r>
              <w:t>09.01.</w:t>
            </w:r>
          </w:p>
          <w:p w:rsidR="009D6A7C" w:rsidRDefault="00EB2271" w:rsidP="00EB2271">
            <w:pPr>
              <w:jc w:val="center"/>
            </w:pPr>
            <w:r>
              <w:t>23.01.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06.02.</w:t>
            </w:r>
          </w:p>
          <w:p w:rsidR="009D6A7C" w:rsidRDefault="00EB2271" w:rsidP="00EB2271">
            <w:pPr>
              <w:jc w:val="center"/>
            </w:pPr>
            <w:r>
              <w:t>20.02.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05.03.</w:t>
            </w:r>
          </w:p>
          <w:p w:rsidR="009D6A7C" w:rsidRDefault="00EB2271" w:rsidP="00EB2271">
            <w:pPr>
              <w:jc w:val="center"/>
            </w:pPr>
            <w:r>
              <w:t>19.03.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02.04.</w:t>
            </w:r>
          </w:p>
          <w:p w:rsidR="009D6A7C" w:rsidRDefault="00EB2271" w:rsidP="00EB2271">
            <w:pPr>
              <w:jc w:val="center"/>
            </w:pPr>
            <w:r>
              <w:t>16.04. 30.04.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14.05.</w:t>
            </w:r>
          </w:p>
          <w:p w:rsidR="00166224" w:rsidRDefault="00EB2271" w:rsidP="00EB2271">
            <w:pPr>
              <w:jc w:val="center"/>
            </w:pPr>
            <w:r>
              <w:t>28.05.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11.06.</w:t>
            </w:r>
          </w:p>
          <w:p w:rsidR="009D6A7C" w:rsidRDefault="00EB2271" w:rsidP="00EB2271">
            <w:pPr>
              <w:jc w:val="center"/>
            </w:pPr>
            <w:r>
              <w:t>25.06.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09.07.</w:t>
            </w:r>
          </w:p>
          <w:p w:rsidR="009D6A7C" w:rsidRDefault="00EB2271" w:rsidP="00EB2271">
            <w:pPr>
              <w:jc w:val="center"/>
            </w:pPr>
            <w:r>
              <w:t>23.07.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06.08.</w:t>
            </w:r>
          </w:p>
          <w:p w:rsidR="009D6A7C" w:rsidRDefault="00EB2271" w:rsidP="00EB2271">
            <w:pPr>
              <w:jc w:val="center"/>
            </w:pPr>
            <w:r>
              <w:t>20.08.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03.09.</w:t>
            </w:r>
          </w:p>
          <w:p w:rsidR="009D6A7C" w:rsidRDefault="00EB2271" w:rsidP="00EB2271">
            <w:pPr>
              <w:jc w:val="center"/>
            </w:pPr>
            <w:r>
              <w:t>17.09.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01.10.</w:t>
            </w:r>
          </w:p>
          <w:p w:rsidR="00EB2271" w:rsidRDefault="00EB2271" w:rsidP="00EB2271">
            <w:pPr>
              <w:jc w:val="center"/>
            </w:pPr>
            <w:r>
              <w:t>15.10.</w:t>
            </w:r>
          </w:p>
          <w:p w:rsidR="005C648B" w:rsidRDefault="00EB2271" w:rsidP="00EB2271">
            <w:pPr>
              <w:jc w:val="center"/>
            </w:pPr>
            <w:r>
              <w:t>29.10.</w:t>
            </w:r>
          </w:p>
        </w:tc>
        <w:tc>
          <w:tcPr>
            <w:tcW w:w="1094" w:type="dxa"/>
            <w:vAlign w:val="center"/>
          </w:tcPr>
          <w:p w:rsidR="00EB2271" w:rsidRDefault="005C648B" w:rsidP="00EB2271">
            <w:r>
              <w:t xml:space="preserve">   </w:t>
            </w:r>
            <w:r w:rsidR="00EB2271">
              <w:t>12.11.</w:t>
            </w:r>
          </w:p>
          <w:p w:rsidR="009D6A7C" w:rsidRDefault="00EB2271" w:rsidP="00EB2271">
            <w:pPr>
              <w:jc w:val="center"/>
            </w:pPr>
            <w:r>
              <w:t>26.11.</w:t>
            </w:r>
          </w:p>
        </w:tc>
        <w:tc>
          <w:tcPr>
            <w:tcW w:w="1094" w:type="dxa"/>
            <w:vAlign w:val="center"/>
          </w:tcPr>
          <w:p w:rsidR="00EB2271" w:rsidRDefault="00EB2271" w:rsidP="00EB2271">
            <w:pPr>
              <w:jc w:val="center"/>
            </w:pPr>
            <w:r>
              <w:t>10.12.</w:t>
            </w:r>
          </w:p>
          <w:p w:rsidR="009D6A7C" w:rsidRDefault="00EB2271" w:rsidP="00EB2271">
            <w:pPr>
              <w:jc w:val="center"/>
            </w:pPr>
            <w:r>
              <w:t>24.12.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9D6A7C" w:rsidRDefault="00FB6A60" w:rsidP="001D5252">
            <w:pPr>
              <w:jc w:val="center"/>
            </w:pPr>
            <w:r>
              <w:t>04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01</w:t>
            </w:r>
            <w:r w:rsidR="00D3215D" w:rsidRPr="00D3215D">
              <w:t>.02.</w:t>
            </w:r>
            <w:r>
              <w:t xml:space="preserve"> 29.02.</w:t>
            </w:r>
          </w:p>
        </w:tc>
        <w:tc>
          <w:tcPr>
            <w:tcW w:w="1094" w:type="dxa"/>
            <w:vAlign w:val="center"/>
          </w:tcPr>
          <w:p w:rsidR="001D5252" w:rsidRDefault="00FB6A60" w:rsidP="007E723D">
            <w:pPr>
              <w:jc w:val="center"/>
            </w:pPr>
            <w:r>
              <w:t>28</w:t>
            </w:r>
            <w:r w:rsidR="001D5252">
              <w:t>.03.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25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FB6A60">
              <w:t>3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20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18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16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12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10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07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05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FB6A60" w:rsidP="007E723D">
            <w:pPr>
              <w:jc w:val="center"/>
            </w:pPr>
            <w:r>
              <w:t>18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15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14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11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09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06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9D6A7C" w:rsidRDefault="00FB6A60" w:rsidP="00C4768A">
            <w:pPr>
              <w:jc w:val="center"/>
            </w:pPr>
            <w:r>
              <w:t>04</w:t>
            </w:r>
            <w:r w:rsidR="00C4768A">
              <w:t>.07.</w:t>
            </w:r>
          </w:p>
        </w:tc>
        <w:tc>
          <w:tcPr>
            <w:tcW w:w="1094" w:type="dxa"/>
            <w:vAlign w:val="center"/>
          </w:tcPr>
          <w:p w:rsidR="00C25FDA" w:rsidRDefault="00FB6A60" w:rsidP="00C25FDA">
            <w:pPr>
              <w:jc w:val="center"/>
            </w:pPr>
            <w:r>
              <w:t>01</w:t>
            </w:r>
            <w:r w:rsidR="00C25FDA">
              <w:t>.08.</w:t>
            </w:r>
          </w:p>
          <w:p w:rsidR="009D6A7C" w:rsidRDefault="00FB6A60" w:rsidP="00C25FDA">
            <w:pPr>
              <w:jc w:val="center"/>
            </w:pPr>
            <w:r>
              <w:t>29</w:t>
            </w:r>
            <w:r w:rsidR="00C25FDA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E7510C">
              <w:t>6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E7510C">
              <w:t>4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>
              <w:t>21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C25FDA" w:rsidP="007E723D">
            <w:pPr>
              <w:jc w:val="center"/>
            </w:pPr>
            <w:r>
              <w:t>1</w:t>
            </w:r>
            <w:r w:rsidR="00E7510C">
              <w:t>9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18.01.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15.02.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14.03.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11.04.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09.05.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06.06.</w:t>
            </w:r>
          </w:p>
        </w:tc>
        <w:tc>
          <w:tcPr>
            <w:tcW w:w="1094" w:type="dxa"/>
            <w:vAlign w:val="center"/>
          </w:tcPr>
          <w:p w:rsidR="009D6A7C" w:rsidRDefault="00E7510C" w:rsidP="00951EAD">
            <w:pPr>
              <w:jc w:val="center"/>
            </w:pPr>
            <w:r w:rsidRPr="00E7510C">
              <w:t>04.07.</w:t>
            </w:r>
          </w:p>
        </w:tc>
        <w:tc>
          <w:tcPr>
            <w:tcW w:w="1094" w:type="dxa"/>
            <w:vAlign w:val="center"/>
          </w:tcPr>
          <w:p w:rsidR="00E7510C" w:rsidRDefault="00E7510C" w:rsidP="00E7510C">
            <w:pPr>
              <w:jc w:val="center"/>
            </w:pPr>
            <w:r>
              <w:t>01.08.</w:t>
            </w:r>
          </w:p>
          <w:p w:rsidR="009D6A7C" w:rsidRDefault="00E7510C" w:rsidP="00E7510C">
            <w:pPr>
              <w:jc w:val="center"/>
            </w:pPr>
            <w:r>
              <w:t>29.08.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26.09.</w:t>
            </w:r>
          </w:p>
        </w:tc>
        <w:tc>
          <w:tcPr>
            <w:tcW w:w="1094" w:type="dxa"/>
            <w:vAlign w:val="center"/>
          </w:tcPr>
          <w:p w:rsidR="009D6A7C" w:rsidRDefault="00E7510C" w:rsidP="00951EAD">
            <w:pPr>
              <w:jc w:val="center"/>
            </w:pPr>
            <w:r w:rsidRPr="00E7510C">
              <w:t>24.10.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21.11.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19.12.</w:t>
            </w:r>
          </w:p>
        </w:tc>
      </w:tr>
      <w:tr w:rsidR="009D6A7C" w:rsidTr="007E723D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bottom"/>
          </w:tcPr>
          <w:p w:rsidR="00AC046A" w:rsidRDefault="00AC046A" w:rsidP="007E723D">
            <w:pPr>
              <w:jc w:val="center"/>
            </w:pPr>
          </w:p>
          <w:p w:rsidR="009D6A7C" w:rsidRDefault="008F585C" w:rsidP="007E723D">
            <w:pPr>
              <w:jc w:val="center"/>
            </w:pPr>
            <w:r>
              <w:t>22</w:t>
            </w:r>
            <w:r w:rsid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8F585C">
              <w:t>6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8F585C" w:rsidP="007E723D">
            <w:pPr>
              <w:jc w:val="center"/>
            </w:pPr>
            <w:r>
              <w:t>22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8F585C" w:rsidP="007E723D">
            <w:pPr>
              <w:jc w:val="center"/>
            </w:pPr>
            <w:r>
              <w:t>28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AC046A" w:rsidRDefault="00AC046A" w:rsidP="007E723D">
            <w:pPr>
              <w:jc w:val="center"/>
            </w:pPr>
          </w:p>
          <w:p w:rsidR="009D6A7C" w:rsidRDefault="008F585C" w:rsidP="007E723D">
            <w:pPr>
              <w:jc w:val="center"/>
            </w:pPr>
            <w:r>
              <w:t>22</w:t>
            </w:r>
            <w:r w:rsidR="009F2976" w:rsidRP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8F585C" w:rsidP="007E723D">
            <w:pPr>
              <w:jc w:val="center"/>
            </w:pPr>
            <w:r>
              <w:t>16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8F585C" w:rsidP="007E723D">
            <w:pPr>
              <w:jc w:val="center"/>
            </w:pPr>
            <w:r>
              <w:t>22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8F585C" w:rsidP="007E723D">
            <w:pPr>
              <w:jc w:val="center"/>
            </w:pPr>
            <w:r>
              <w:t>28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9B7279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FB6A60" w:rsidRDefault="00FB6A60" w:rsidP="00FB6A60">
            <w:pPr>
              <w:jc w:val="center"/>
            </w:pPr>
            <w:r>
              <w:t>11.01.</w:t>
            </w:r>
          </w:p>
          <w:p w:rsidR="009D6A7C" w:rsidRDefault="00FB6A60" w:rsidP="00FB6A60">
            <w:pPr>
              <w:jc w:val="center"/>
            </w:pPr>
            <w:r>
              <w:t>25.01.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08.02.</w:t>
            </w:r>
          </w:p>
          <w:p w:rsidR="009D6A7C" w:rsidRDefault="00FB6A60" w:rsidP="00FB6A60">
            <w:pPr>
              <w:jc w:val="center"/>
            </w:pPr>
            <w:r>
              <w:t>22.02.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07.03.</w:t>
            </w:r>
          </w:p>
          <w:p w:rsidR="009D6A7C" w:rsidRDefault="00FB6A60" w:rsidP="00FB6A60">
            <w:pPr>
              <w:jc w:val="center"/>
            </w:pPr>
            <w:r>
              <w:t>21.03.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04.04.</w:t>
            </w:r>
          </w:p>
          <w:p w:rsidR="009D6A7C" w:rsidRDefault="00FB6A60" w:rsidP="00FB6A60">
            <w:pPr>
              <w:jc w:val="center"/>
            </w:pPr>
            <w:r>
              <w:t>18.04.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02.05.</w:t>
            </w:r>
          </w:p>
          <w:p w:rsidR="009D6A7C" w:rsidRDefault="00FB6A60" w:rsidP="00FB6A60">
            <w:pPr>
              <w:jc w:val="center"/>
            </w:pPr>
            <w:r>
              <w:t>16.05. 31.05.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13.06.</w:t>
            </w:r>
          </w:p>
          <w:p w:rsidR="009D6A7C" w:rsidRDefault="00FB6A60" w:rsidP="00FB6A60">
            <w:pPr>
              <w:jc w:val="center"/>
            </w:pPr>
            <w:r>
              <w:t>27.06.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11.07.</w:t>
            </w:r>
          </w:p>
          <w:p w:rsidR="009D6A7C" w:rsidRDefault="00FB6A60" w:rsidP="00FB6A60">
            <w:pPr>
              <w:jc w:val="center"/>
            </w:pPr>
            <w:r>
              <w:t>25.07.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08.08.</w:t>
            </w:r>
          </w:p>
          <w:p w:rsidR="009D6A7C" w:rsidRDefault="00FB6A60" w:rsidP="00FB6A60">
            <w:pPr>
              <w:jc w:val="center"/>
            </w:pPr>
            <w:r>
              <w:t>22.08.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05.09.</w:t>
            </w:r>
          </w:p>
          <w:p w:rsidR="009D6A7C" w:rsidRDefault="00FB6A60" w:rsidP="00FB6A60">
            <w:pPr>
              <w:jc w:val="center"/>
            </w:pPr>
            <w:r>
              <w:t>19.09.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03.10.</w:t>
            </w:r>
          </w:p>
          <w:p w:rsidR="009D6A7C" w:rsidRDefault="00FB6A60" w:rsidP="00FB6A60">
            <w:pPr>
              <w:jc w:val="center"/>
            </w:pPr>
            <w:r>
              <w:t>17.10. 31.10.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14.11.</w:t>
            </w:r>
          </w:p>
          <w:p w:rsidR="009D6A7C" w:rsidRDefault="00FB6A60" w:rsidP="00FB6A60">
            <w:pPr>
              <w:jc w:val="center"/>
            </w:pPr>
            <w:r>
              <w:t>28.11.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12.12.</w:t>
            </w:r>
          </w:p>
          <w:p w:rsidR="009D6A7C" w:rsidRDefault="00FB6A60" w:rsidP="00FB6A60">
            <w:pPr>
              <w:jc w:val="center"/>
            </w:pPr>
            <w:r>
              <w:t>27.12.</w:t>
            </w:r>
          </w:p>
        </w:tc>
      </w:tr>
    </w:tbl>
    <w:p w:rsidR="009F2976" w:rsidRPr="007E723D" w:rsidRDefault="00FB6A60" w:rsidP="007E7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1F32E4">
        <w:rPr>
          <w:b/>
          <w:sz w:val="24"/>
          <w:szCs w:val="24"/>
        </w:rPr>
        <w:t xml:space="preserve"> </w:t>
      </w:r>
      <w:r w:rsidR="004F2C88">
        <w:rPr>
          <w:b/>
          <w:sz w:val="24"/>
          <w:szCs w:val="24"/>
        </w:rPr>
        <w:t xml:space="preserve">- </w:t>
      </w:r>
      <w:r w:rsidR="004F2C88" w:rsidRPr="004F2C88">
        <w:rPr>
          <w:sz w:val="24"/>
          <w:szCs w:val="24"/>
        </w:rPr>
        <w:t xml:space="preserve">ulica Koprivnička, Miroslava Krleže, Marije </w:t>
      </w:r>
      <w:proofErr w:type="spellStart"/>
      <w:r w:rsidR="004F2C88" w:rsidRPr="004F2C88">
        <w:rPr>
          <w:sz w:val="24"/>
          <w:szCs w:val="24"/>
        </w:rPr>
        <w:t>Winter</w:t>
      </w:r>
      <w:proofErr w:type="spellEnd"/>
      <w:r w:rsidR="004F2C88" w:rsidRPr="004F2C88">
        <w:rPr>
          <w:sz w:val="24"/>
          <w:szCs w:val="24"/>
        </w:rPr>
        <w:t xml:space="preserve">, Tina Ujevića, Ivane Brlić Mažuranić, Dr. Franje Tuđmana, </w:t>
      </w:r>
      <w:proofErr w:type="spellStart"/>
      <w:r w:rsidR="004F2C88" w:rsidRPr="004F2C88">
        <w:rPr>
          <w:sz w:val="24"/>
          <w:szCs w:val="24"/>
        </w:rPr>
        <w:t>Pavleka</w:t>
      </w:r>
      <w:proofErr w:type="spellEnd"/>
      <w:r w:rsidR="004F2C88" w:rsidRPr="004F2C88">
        <w:rPr>
          <w:sz w:val="24"/>
          <w:szCs w:val="24"/>
        </w:rPr>
        <w:t xml:space="preserve"> Mihovila </w:t>
      </w:r>
      <w:proofErr w:type="spellStart"/>
      <w:r w:rsidR="004F2C88" w:rsidRPr="004F2C88">
        <w:rPr>
          <w:sz w:val="24"/>
          <w:szCs w:val="24"/>
        </w:rPr>
        <w:t>Miškine</w:t>
      </w:r>
      <w:proofErr w:type="spellEnd"/>
      <w:r w:rsidR="004F2C88" w:rsidRPr="004F2C88">
        <w:rPr>
          <w:sz w:val="24"/>
          <w:szCs w:val="24"/>
        </w:rPr>
        <w:t xml:space="preserve">, Lovački put, Rapska, Bože </w:t>
      </w:r>
      <w:proofErr w:type="spellStart"/>
      <w:r w:rsidR="004F2C88" w:rsidRPr="004F2C88">
        <w:rPr>
          <w:sz w:val="24"/>
          <w:szCs w:val="24"/>
        </w:rPr>
        <w:t>Hlasteca</w:t>
      </w:r>
      <w:proofErr w:type="spellEnd"/>
      <w:r w:rsidR="004F2C88" w:rsidRPr="004F2C88">
        <w:rPr>
          <w:sz w:val="24"/>
          <w:szCs w:val="24"/>
        </w:rPr>
        <w:t xml:space="preserve">, Kardinala Alojzija Stepinca, Rudolfa </w:t>
      </w:r>
      <w:proofErr w:type="spellStart"/>
      <w:r w:rsidR="004F2C88" w:rsidRPr="004F2C88">
        <w:rPr>
          <w:sz w:val="24"/>
          <w:szCs w:val="24"/>
        </w:rPr>
        <w:t>Fizira</w:t>
      </w:r>
      <w:proofErr w:type="spellEnd"/>
      <w:r w:rsidR="004F2C88" w:rsidRPr="004F2C88">
        <w:rPr>
          <w:sz w:val="24"/>
          <w:szCs w:val="24"/>
        </w:rPr>
        <w:t>, Gospodarska, Ljudevita Vrančića, Nikole Tesle</w:t>
      </w:r>
    </w:p>
    <w:p w:rsidR="003D0F57" w:rsidRDefault="003D0F57"/>
    <w:p w:rsidR="009F2976" w:rsidRDefault="009F2976"/>
    <w:p w:rsidR="001F32E4" w:rsidRDefault="001F32E4" w:rsidP="001F32E4">
      <w:pPr>
        <w:jc w:val="center"/>
        <w:rPr>
          <w:b/>
        </w:rPr>
      </w:pPr>
      <w:r>
        <w:rPr>
          <w:b/>
        </w:rPr>
        <w:t>RASPORED R</w:t>
      </w:r>
      <w:r w:rsidR="00FD1B68">
        <w:rPr>
          <w:b/>
        </w:rPr>
        <w:t>ADA RECIKLAŽNOG DVORIŠTA ZA 2024</w:t>
      </w:r>
      <w:r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F32E4" w:rsidTr="001F32E4">
        <w:tc>
          <w:tcPr>
            <w:tcW w:w="14220" w:type="dxa"/>
            <w:shd w:val="clear" w:color="auto" w:fill="D9D9D9" w:themeFill="background1" w:themeFillShade="D9"/>
            <w:hideMark/>
          </w:tcPr>
          <w:p w:rsidR="001F32E4" w:rsidRDefault="001F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1F32E4" w:rsidRDefault="001F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</w:tbl>
    <w:p w:rsidR="009F2976" w:rsidRDefault="009F2976"/>
    <w:p w:rsidR="009F2976" w:rsidRDefault="009F2976"/>
    <w:p w:rsidR="00E0171C" w:rsidRDefault="00E0171C"/>
    <w:p w:rsidR="00E0171C" w:rsidRDefault="00E0171C"/>
    <w:p w:rsidR="00E0171C" w:rsidRDefault="00E0171C">
      <w:pPr>
        <w:sectPr w:rsidR="00E0171C" w:rsidSect="001F32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171C" w:rsidRDefault="00E0171C">
      <w:r w:rsidRPr="00E0171C"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4DC57D20" wp14:editId="2C5E1EF3">
            <wp:simplePos x="0" y="0"/>
            <wp:positionH relativeFrom="rightMargin">
              <wp:posOffset>-544195</wp:posOffset>
            </wp:positionH>
            <wp:positionV relativeFrom="margin">
              <wp:posOffset>635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0171C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2EB0C673" wp14:editId="4EB9ECFD">
            <wp:simplePos x="0" y="0"/>
            <wp:positionH relativeFrom="margin">
              <wp:posOffset>2192020</wp:posOffset>
            </wp:positionH>
            <wp:positionV relativeFrom="paragraph">
              <wp:posOffset>3978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0171C" w:rsidRDefault="00E0171C" w:rsidP="00E0171C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E0171C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A6B43DA" wp14:editId="5016B140">
            <wp:simplePos x="0" y="0"/>
            <wp:positionH relativeFrom="margin">
              <wp:posOffset>6021070</wp:posOffset>
            </wp:positionH>
            <wp:positionV relativeFrom="margin">
              <wp:posOffset>457200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0171C" w:rsidRDefault="00E0171C" w:rsidP="00E0171C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3808E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89ECF" wp14:editId="3F313887">
                <wp:simplePos x="0" y="0"/>
                <wp:positionH relativeFrom="margin">
                  <wp:posOffset>1033780</wp:posOffset>
                </wp:positionH>
                <wp:positionV relativeFrom="paragraph">
                  <wp:posOffset>46355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0171C" w:rsidRDefault="00E0171C" w:rsidP="00E0171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E0171C" w:rsidRDefault="00E0171C" w:rsidP="00E0171C">
                            <w:pPr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E0171C" w:rsidRDefault="00E0171C" w:rsidP="00E0171C">
                            <w:pPr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E0171C" w:rsidRDefault="00E0171C" w:rsidP="00E0171C">
                            <w:pPr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81.4pt;margin-top:3.65pt;width:363pt;height:22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" stroked="f">
                <v:textbox>
                  <w:txbxContent>
                    <w:p w:rsidR="00E0171C" w:rsidRDefault="00E0171C" w:rsidP="00E0171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E0171C" w:rsidRDefault="00E0171C" w:rsidP="00E0171C">
                      <w:pPr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E0171C" w:rsidRDefault="00E0171C" w:rsidP="00E0171C">
                      <w:pPr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E0171C" w:rsidRDefault="00E0171C" w:rsidP="00E0171C">
                      <w:pPr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71C" w:rsidRDefault="00E0171C" w:rsidP="00E0171C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E0171C" w:rsidRPr="004F7F8F" w:rsidRDefault="00E0171C" w:rsidP="00E0171C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4F7F8F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E0171C" w:rsidRDefault="00E0171C" w:rsidP="00E0171C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0171C" w:rsidRPr="004F7F8F" w:rsidRDefault="00E0171C" w:rsidP="00E0171C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E0171C" w:rsidRPr="004F7F8F" w:rsidRDefault="00E0171C" w:rsidP="00E0171C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0171C" w:rsidRPr="004F7F8F" w:rsidRDefault="00E0171C" w:rsidP="00E0171C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E0171C" w:rsidRPr="004F7F8F" w:rsidRDefault="00E0171C" w:rsidP="00E0171C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E0171C" w:rsidRPr="004F7F8F" w:rsidRDefault="00E0171C" w:rsidP="00E0171C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dvorište može</w:t>
      </w:r>
      <w:r w:rsidRPr="004F7F8F">
        <w:rPr>
          <w:rFonts w:ascii="Calibri" w:eastAsia="Calibri" w:hAnsi="Calibri" w:cs="Times New Roman"/>
          <w:sz w:val="24"/>
          <w:szCs w:val="24"/>
        </w:rPr>
        <w:t xml:space="preserve"> se predati opasni otpad (baterije, žarulje, boje, lakovi, električna i elektronička oprema… ),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reci</w:t>
      </w:r>
      <w:r>
        <w:rPr>
          <w:rFonts w:ascii="Calibri" w:eastAsia="Calibri" w:hAnsi="Calibri" w:cs="Times New Roman"/>
          <w:sz w:val="24"/>
          <w:szCs w:val="24"/>
        </w:rPr>
        <w:t>klabilni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otpad, glomazni otpad </w:t>
      </w:r>
      <w:r w:rsidRPr="004F7F8F">
        <w:rPr>
          <w:rFonts w:ascii="Calibri" w:eastAsia="Calibri" w:hAnsi="Calibri" w:cs="Times New Roman"/>
          <w:sz w:val="24"/>
          <w:szCs w:val="24"/>
        </w:rPr>
        <w:t>na lokaciji Ulica 5. studenog 31, Ludbreg.</w:t>
      </w:r>
    </w:p>
    <w:p w:rsidR="00E0171C" w:rsidRPr="004F7F8F" w:rsidRDefault="00E0171C" w:rsidP="00E0171C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E0171C" w:rsidRPr="004F7F8F" w:rsidRDefault="00E0171C" w:rsidP="00E0171C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E0171C" w:rsidRPr="004F7F8F" w:rsidRDefault="00E0171C" w:rsidP="00E0171C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4F7F8F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4F7F8F">
        <w:rPr>
          <w:rFonts w:ascii="Calibri" w:eastAsia="Calibri" w:hAnsi="Calibri" w:cs="Calibri"/>
          <w:sz w:val="24"/>
          <w:szCs w:val="24"/>
        </w:rPr>
        <w:t>³</w:t>
      </w:r>
      <w:r w:rsidRPr="004F7F8F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stranici </w:t>
      </w:r>
      <w:hyperlink r:id="rId11" w:history="1">
        <w:r w:rsidRPr="00556B44">
          <w:rPr>
            <w:rStyle w:val="Hiperveza"/>
            <w:rFonts w:ascii="Calibri" w:eastAsia="Calibri" w:hAnsi="Calibri" w:cs="Times New Roman"/>
            <w:sz w:val="24"/>
            <w:szCs w:val="24"/>
          </w:rPr>
          <w:t>www.lukom.hr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F7F8F">
        <w:rPr>
          <w:rFonts w:ascii="Calibri" w:eastAsia="Calibri" w:hAnsi="Calibri" w:cs="Times New Roman"/>
          <w:sz w:val="24"/>
          <w:szCs w:val="24"/>
        </w:rPr>
        <w:t xml:space="preserve">te poslati na mail </w:t>
      </w:r>
      <w:hyperlink r:id="rId12" w:history="1">
        <w:r w:rsidRPr="004F7F8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4F7F8F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E0171C" w:rsidRPr="004F7F8F" w:rsidRDefault="00E0171C" w:rsidP="00E0171C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3" w:history="1">
        <w:r w:rsidRPr="004F7F8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4F7F8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E0171C" w:rsidRDefault="00E0171C" w:rsidP="00E0171C">
      <w:bookmarkStart w:id="0" w:name="_GoBack"/>
      <w:bookmarkEnd w:id="0"/>
    </w:p>
    <w:p w:rsidR="00E0171C" w:rsidRDefault="00E0171C" w:rsidP="00E0171C"/>
    <w:p w:rsidR="00E0171C" w:rsidRPr="00AF68F4" w:rsidRDefault="00E0171C" w:rsidP="00E0171C">
      <w:pPr>
        <w:tabs>
          <w:tab w:val="left" w:pos="1834"/>
        </w:tabs>
      </w:pPr>
    </w:p>
    <w:p w:rsidR="00E0171C" w:rsidRDefault="0075256A" w:rsidP="00E0171C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DD702" wp14:editId="62FE3DD1">
                <wp:simplePos x="0" y="0"/>
                <wp:positionH relativeFrom="page">
                  <wp:posOffset>379095</wp:posOffset>
                </wp:positionH>
                <wp:positionV relativeFrom="paragraph">
                  <wp:posOffset>205740</wp:posOffset>
                </wp:positionV>
                <wp:extent cx="6589395" cy="487045"/>
                <wp:effectExtent l="0" t="0" r="1905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0171C" w:rsidRDefault="00E0171C" w:rsidP="0075256A">
                            <w:pPr>
                              <w:pStyle w:val="Bezproreda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="00430589" w:rsidRPr="00430589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="00430589" w:rsidRPr="00430589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  <w:r w:rsidR="00430589" w:rsidRPr="00430589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0171C" w:rsidRDefault="00E0171C" w:rsidP="0075256A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E0171C" w:rsidRDefault="00E0171C" w:rsidP="0075256A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E0171C" w:rsidRDefault="00E0171C" w:rsidP="0075256A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E0171C" w:rsidRDefault="00E0171C" w:rsidP="0075256A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E0171C" w:rsidRDefault="00E0171C" w:rsidP="0075256A">
                            <w:pPr>
                              <w:pStyle w:val="Bezproreda"/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85pt;margin-top:16.2pt;width:518.85pt;height:38.3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" stroked="f">
                <v:textbox>
                  <w:txbxContent>
                    <w:p w:rsidR="00E0171C" w:rsidRDefault="00E0171C" w:rsidP="0075256A">
                      <w:pPr>
                        <w:pStyle w:val="Bezproreda"/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="00430589" w:rsidRPr="00430589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="00430589" w:rsidRPr="00430589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  <w:r w:rsidR="00430589" w:rsidRPr="00430589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.</w:t>
                      </w:r>
                    </w:p>
                    <w:p w:rsidR="00E0171C" w:rsidRDefault="00E0171C" w:rsidP="0075256A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E0171C" w:rsidRDefault="00E0171C" w:rsidP="0075256A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E0171C" w:rsidRDefault="00E0171C" w:rsidP="0075256A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E0171C" w:rsidRDefault="00E0171C" w:rsidP="0075256A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E0171C" w:rsidRDefault="00E0171C" w:rsidP="0075256A">
                      <w:pPr>
                        <w:pStyle w:val="Bezproreda"/>
                        <w:spacing w:line="36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71C" w:rsidRPr="00E0171C" w:rsidRDefault="00E0171C" w:rsidP="00E0171C"/>
    <w:sectPr w:rsidR="00E0171C" w:rsidRPr="00E0171C" w:rsidSect="00E01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42BBA"/>
    <w:rsid w:val="00082173"/>
    <w:rsid w:val="00166224"/>
    <w:rsid w:val="00192A8C"/>
    <w:rsid w:val="001D5252"/>
    <w:rsid w:val="001F32E4"/>
    <w:rsid w:val="002150F8"/>
    <w:rsid w:val="002A16F1"/>
    <w:rsid w:val="002D3CCC"/>
    <w:rsid w:val="002E52C9"/>
    <w:rsid w:val="003D0F57"/>
    <w:rsid w:val="00405424"/>
    <w:rsid w:val="00426115"/>
    <w:rsid w:val="00430589"/>
    <w:rsid w:val="004F2C88"/>
    <w:rsid w:val="005C648B"/>
    <w:rsid w:val="00600542"/>
    <w:rsid w:val="007422AF"/>
    <w:rsid w:val="0075256A"/>
    <w:rsid w:val="007815FC"/>
    <w:rsid w:val="007E723D"/>
    <w:rsid w:val="008F585C"/>
    <w:rsid w:val="00944404"/>
    <w:rsid w:val="00951EAD"/>
    <w:rsid w:val="009B7279"/>
    <w:rsid w:val="009D6A7C"/>
    <w:rsid w:val="009F2976"/>
    <w:rsid w:val="00A44805"/>
    <w:rsid w:val="00AC046A"/>
    <w:rsid w:val="00C25FDA"/>
    <w:rsid w:val="00C4768A"/>
    <w:rsid w:val="00C504D8"/>
    <w:rsid w:val="00C73D8B"/>
    <w:rsid w:val="00D22EB5"/>
    <w:rsid w:val="00D3215D"/>
    <w:rsid w:val="00DB2C82"/>
    <w:rsid w:val="00DB5E2F"/>
    <w:rsid w:val="00E0171C"/>
    <w:rsid w:val="00E7510C"/>
    <w:rsid w:val="00EB2271"/>
    <w:rsid w:val="00EC3A8B"/>
    <w:rsid w:val="00EF0C92"/>
    <w:rsid w:val="00F81EF9"/>
    <w:rsid w:val="00FB3852"/>
    <w:rsid w:val="00FB6A60"/>
    <w:rsid w:val="00FD1B68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171C"/>
    <w:rPr>
      <w:color w:val="0000FF" w:themeColor="hyperlink"/>
      <w:u w:val="single"/>
    </w:rPr>
  </w:style>
  <w:style w:type="paragraph" w:styleId="Bezproreda">
    <w:name w:val="No Spacing"/>
    <w:rsid w:val="00E017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171C"/>
    <w:rPr>
      <w:color w:val="0000FF" w:themeColor="hyperlink"/>
      <w:u w:val="single"/>
    </w:rPr>
  </w:style>
  <w:style w:type="paragraph" w:styleId="Bezproreda">
    <w:name w:val="No Spacing"/>
    <w:rsid w:val="00E017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hyperlink" Target="mailto:lukom@luk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kom.h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18</cp:revision>
  <cp:lastPrinted>2023-11-22T07:01:00Z</cp:lastPrinted>
  <dcterms:created xsi:type="dcterms:W3CDTF">2022-11-24T07:48:00Z</dcterms:created>
  <dcterms:modified xsi:type="dcterms:W3CDTF">2023-12-20T07:17:00Z</dcterms:modified>
</cp:coreProperties>
</file>